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INNSBRUCK 6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Schlotthof</w:t>
            </w:r>
            <w:proofErr w:type="spellEnd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frequenz 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 MHz</w:t>
            </w:r>
            <w:proofErr w:type="gramEnd"/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92,90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´ )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011E22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47N16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685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14,0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25,1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 xml:space="preserve">ERP in </w:t>
            </w:r>
            <w:proofErr w:type="spellStart"/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22,2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24,2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24,2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22,2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FMaG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2016), BGBl. I Nr. 57/2017 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i.d.g.F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Art der </w:t>
            </w:r>
            <w:proofErr w:type="spellStart"/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Programmzubringung</w:t>
            </w:r>
            <w:proofErr w:type="spellEnd"/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141212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</w:t>
            </w:r>
            <w:proofErr w:type="gramStart"/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ja</w:t>
            </w:r>
            <w:proofErr w:type="gramEnd"/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D51A0C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  <w:proofErr w:type="spellEnd"/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  <w:proofErr w:type="spellEnd"/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JENBACH 3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Kanzelkehre</w:t>
            </w:r>
            <w:proofErr w:type="spellEnd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frequenz 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 MHz</w:t>
            </w:r>
            <w:proofErr w:type="gramEnd"/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104,10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´ )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011E47 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47N24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896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8,0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19,5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 xml:space="preserve">ERP in </w:t>
            </w:r>
            <w:proofErr w:type="spellStart"/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19,2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19,2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10,9</w:t>
            </w: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FMaG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2016), BGBl. I Nr. 57/2017 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i.d.g.F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Art der </w:t>
            </w:r>
            <w:proofErr w:type="spellStart"/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Programmzubringung</w:t>
            </w:r>
            <w:proofErr w:type="spellEnd"/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141212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</w:t>
            </w:r>
            <w:proofErr w:type="gramStart"/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ja</w:t>
            </w:r>
            <w:proofErr w:type="gramEnd"/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D51A0C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  <w:proofErr w:type="spellEnd"/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  <w:proofErr w:type="spellEnd"/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KUFSTEIN 2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Thierberg</w:t>
            </w:r>
            <w:proofErr w:type="spellEnd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frequenz 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 MHz</w:t>
            </w:r>
            <w:proofErr w:type="gramEnd"/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90,00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´ )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012E10 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47N35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550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14,0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19,0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 xml:space="preserve">ERP in </w:t>
            </w:r>
            <w:proofErr w:type="spellStart"/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17,2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2,8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6,6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FMaG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2016), BGBl. I Nr. 57/2017 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i.d.g.F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Art der </w:t>
            </w:r>
            <w:proofErr w:type="spellStart"/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Programmzubringung</w:t>
            </w:r>
            <w:proofErr w:type="spellEnd"/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141212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</w:t>
            </w:r>
            <w:proofErr w:type="gramStart"/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ja</w:t>
            </w:r>
            <w:proofErr w:type="gramEnd"/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D51A0C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  <w:proofErr w:type="spellEnd"/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  <w:proofErr w:type="spellEnd"/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WOERGL 4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0" w:name="Betreiber"/>
            <w:bookmarkEnd w:id="0"/>
            <w:proofErr w:type="spellStart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Werlberg</w:t>
            </w:r>
            <w:proofErr w:type="spellEnd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Standortname"/>
            <w:bookmarkEnd w:id="1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ynonym"/>
            <w:bookmarkEnd w:id="2"/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frequenz 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 MHz</w:t>
            </w:r>
            <w:proofErr w:type="gramEnd"/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91,40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</w:t>
            </w:r>
            <w:proofErr w:type="gram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´ )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KooEW"/>
            <w:bookmarkEnd w:id="3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012E06 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NS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47N29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SYS"/>
            <w:bookmarkEnd w:id="5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6" w:name="Seehöhe"/>
            <w:bookmarkEnd w:id="6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740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7" w:name="AntennenSP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8,0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20,0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Richtung"/>
            <w:bookmarkEnd w:id="8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Erhebungswinkel"/>
            <w:bookmarkEnd w:id="9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VertHalbwert"/>
            <w:bookmarkEnd w:id="10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Polarisation"/>
            <w:bookmarkEnd w:id="11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 xml:space="preserve">ERP in </w:t>
            </w:r>
            <w:proofErr w:type="spellStart"/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AntDH0"/>
            <w:bookmarkEnd w:id="1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3" w:name="AntDH10"/>
            <w:bookmarkEnd w:id="13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4" w:name="AntDH20"/>
            <w:bookmarkEnd w:id="14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30"/>
            <w:bookmarkEnd w:id="15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40"/>
            <w:bookmarkEnd w:id="1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50"/>
            <w:bookmarkEnd w:id="17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8" w:name="AntDV0"/>
            <w:bookmarkEnd w:id="18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9" w:name="AntDH60"/>
            <w:bookmarkEnd w:id="1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70"/>
            <w:bookmarkEnd w:id="20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80"/>
            <w:bookmarkEnd w:id="21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90"/>
            <w:bookmarkEnd w:id="2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100"/>
            <w:bookmarkEnd w:id="2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10"/>
            <w:bookmarkEnd w:id="24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V60"/>
            <w:bookmarkEnd w:id="25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H120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30"/>
            <w:bookmarkEnd w:id="27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40"/>
            <w:bookmarkEnd w:id="28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50"/>
            <w:bookmarkEnd w:id="2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60"/>
            <w:bookmarkEnd w:id="3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70"/>
            <w:bookmarkEnd w:id="31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V120"/>
            <w:bookmarkEnd w:id="3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H180"/>
            <w:bookmarkEnd w:id="3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90"/>
            <w:bookmarkEnd w:id="34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200"/>
            <w:bookmarkEnd w:id="35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10"/>
            <w:bookmarkEnd w:id="3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20"/>
            <w:bookmarkEnd w:id="3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30"/>
            <w:bookmarkEnd w:id="38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V180"/>
            <w:bookmarkEnd w:id="3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H240"/>
            <w:bookmarkEnd w:id="4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50"/>
            <w:bookmarkEnd w:id="41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60"/>
            <w:bookmarkEnd w:id="42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70"/>
            <w:bookmarkEnd w:id="4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80"/>
            <w:bookmarkEnd w:id="4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90"/>
            <w:bookmarkEnd w:id="45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V240"/>
            <w:bookmarkEnd w:id="4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19,6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H300"/>
            <w:bookmarkEnd w:id="47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10"/>
            <w:bookmarkEnd w:id="48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20"/>
            <w:bookmarkEnd w:id="49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30"/>
            <w:bookmarkEnd w:id="5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40"/>
            <w:bookmarkEnd w:id="5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50"/>
            <w:bookmarkEnd w:id="52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V300"/>
            <w:bookmarkEnd w:id="5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18,6</w:t>
            </w: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FMaG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2016), BGBl. I Nr. 57/2017 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i.d.g.F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Art der </w:t>
            </w:r>
            <w:proofErr w:type="spellStart"/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Programmzubringung</w:t>
            </w:r>
            <w:proofErr w:type="spellEnd"/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141212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</w:t>
            </w:r>
            <w:proofErr w:type="gramStart"/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ja</w:t>
            </w:r>
            <w:proofErr w:type="gramEnd"/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D51A0C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  <w:proofErr w:type="spellEnd"/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  <w:proofErr w:type="spellEnd"/>
          </w:p>
        </w:tc>
      </w:tr>
    </w:tbl>
    <w:p w:rsidR="00D55B82" w:rsidRPr="00ED52C1" w:rsidRDefault="00D55B82" w:rsidP="00D55B82">
      <w:pPr>
        <w:rPr>
          <w:rFonts w:asciiTheme="minorHAnsi" w:hAnsiTheme="minorHAnsi" w:cs="Arial"/>
          <w:sz w:val="22"/>
          <w:szCs w:val="22"/>
        </w:rPr>
      </w:pPr>
    </w:p>
    <w:sectPr w:rsidR="00D55B82" w:rsidRPr="00ED52C1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148" w:rsidRDefault="00573148" w:rsidP="009D1EB8">
      <w:r>
        <w:separator/>
      </w:r>
    </w:p>
  </w:endnote>
  <w:endnote w:type="continuationSeparator" w:id="0">
    <w:p w:rsidR="00573148" w:rsidRDefault="00573148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148" w:rsidRDefault="00573148" w:rsidP="009D1EB8">
      <w:r>
        <w:separator/>
      </w:r>
    </w:p>
  </w:footnote>
  <w:footnote w:type="continuationSeparator" w:id="0">
    <w:p w:rsidR="00573148" w:rsidRDefault="00573148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723B9"/>
    <w:rsid w:val="00085311"/>
    <w:rsid w:val="000968A8"/>
    <w:rsid w:val="000A42EE"/>
    <w:rsid w:val="000A54C4"/>
    <w:rsid w:val="000A5BE0"/>
    <w:rsid w:val="000B0422"/>
    <w:rsid w:val="000C457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41212"/>
    <w:rsid w:val="00164787"/>
    <w:rsid w:val="001A4CBE"/>
    <w:rsid w:val="001C0B51"/>
    <w:rsid w:val="001C0CBC"/>
    <w:rsid w:val="00205804"/>
    <w:rsid w:val="00215423"/>
    <w:rsid w:val="002443DF"/>
    <w:rsid w:val="0024716F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36C19"/>
    <w:rsid w:val="003415E3"/>
    <w:rsid w:val="0034188A"/>
    <w:rsid w:val="0034633F"/>
    <w:rsid w:val="00353FA2"/>
    <w:rsid w:val="00362E41"/>
    <w:rsid w:val="00363BCB"/>
    <w:rsid w:val="003675FA"/>
    <w:rsid w:val="003758BB"/>
    <w:rsid w:val="00384A24"/>
    <w:rsid w:val="00385ECD"/>
    <w:rsid w:val="003933B9"/>
    <w:rsid w:val="00394C57"/>
    <w:rsid w:val="003976D2"/>
    <w:rsid w:val="003B5DAA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9359B"/>
    <w:rsid w:val="00497CC6"/>
    <w:rsid w:val="004C289D"/>
    <w:rsid w:val="004D2CEC"/>
    <w:rsid w:val="004D63A9"/>
    <w:rsid w:val="004F3389"/>
    <w:rsid w:val="004F5386"/>
    <w:rsid w:val="00521687"/>
    <w:rsid w:val="00525E66"/>
    <w:rsid w:val="00543A9D"/>
    <w:rsid w:val="00553F47"/>
    <w:rsid w:val="00561EFD"/>
    <w:rsid w:val="00573148"/>
    <w:rsid w:val="00573D55"/>
    <w:rsid w:val="00574005"/>
    <w:rsid w:val="00575C96"/>
    <w:rsid w:val="005846C2"/>
    <w:rsid w:val="005851A1"/>
    <w:rsid w:val="0059034A"/>
    <w:rsid w:val="005B06AF"/>
    <w:rsid w:val="005C3CC7"/>
    <w:rsid w:val="005C5AD3"/>
    <w:rsid w:val="005C7E2F"/>
    <w:rsid w:val="005D18AE"/>
    <w:rsid w:val="005D282A"/>
    <w:rsid w:val="005E0253"/>
    <w:rsid w:val="005E4662"/>
    <w:rsid w:val="005F22DD"/>
    <w:rsid w:val="005F63DD"/>
    <w:rsid w:val="005F7CA3"/>
    <w:rsid w:val="00600514"/>
    <w:rsid w:val="006049C4"/>
    <w:rsid w:val="00604FC9"/>
    <w:rsid w:val="006055F9"/>
    <w:rsid w:val="006070E4"/>
    <w:rsid w:val="006223E0"/>
    <w:rsid w:val="006251F9"/>
    <w:rsid w:val="00625D2E"/>
    <w:rsid w:val="00646D6E"/>
    <w:rsid w:val="0065738B"/>
    <w:rsid w:val="006619A0"/>
    <w:rsid w:val="00670BD6"/>
    <w:rsid w:val="00670C61"/>
    <w:rsid w:val="006A3718"/>
    <w:rsid w:val="006C2F27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F0D2C"/>
    <w:rsid w:val="007F18EE"/>
    <w:rsid w:val="00821A64"/>
    <w:rsid w:val="00831A33"/>
    <w:rsid w:val="008367E3"/>
    <w:rsid w:val="00844237"/>
    <w:rsid w:val="00845DBA"/>
    <w:rsid w:val="008653BD"/>
    <w:rsid w:val="00872929"/>
    <w:rsid w:val="008901EE"/>
    <w:rsid w:val="008B6028"/>
    <w:rsid w:val="008C60A3"/>
    <w:rsid w:val="008D589B"/>
    <w:rsid w:val="00904A59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D0D80"/>
    <w:rsid w:val="009D1EB8"/>
    <w:rsid w:val="009F16D6"/>
    <w:rsid w:val="00A13C39"/>
    <w:rsid w:val="00A25EC1"/>
    <w:rsid w:val="00A36340"/>
    <w:rsid w:val="00A479E9"/>
    <w:rsid w:val="00A549EC"/>
    <w:rsid w:val="00A57E17"/>
    <w:rsid w:val="00A72E7D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26A45"/>
    <w:rsid w:val="00B31376"/>
    <w:rsid w:val="00B35134"/>
    <w:rsid w:val="00B40F4E"/>
    <w:rsid w:val="00B460A2"/>
    <w:rsid w:val="00B55627"/>
    <w:rsid w:val="00B55E64"/>
    <w:rsid w:val="00B710A1"/>
    <w:rsid w:val="00B71B6A"/>
    <w:rsid w:val="00B71C33"/>
    <w:rsid w:val="00B73DDA"/>
    <w:rsid w:val="00B7781D"/>
    <w:rsid w:val="00B9005F"/>
    <w:rsid w:val="00BA50A8"/>
    <w:rsid w:val="00BD26DD"/>
    <w:rsid w:val="00BD4324"/>
    <w:rsid w:val="00BE53A6"/>
    <w:rsid w:val="00BE5AEF"/>
    <w:rsid w:val="00C224E1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04A7"/>
    <w:rsid w:val="00CE3AE7"/>
    <w:rsid w:val="00CE7540"/>
    <w:rsid w:val="00D024FE"/>
    <w:rsid w:val="00D079E4"/>
    <w:rsid w:val="00D115CB"/>
    <w:rsid w:val="00D1483C"/>
    <w:rsid w:val="00D41FD4"/>
    <w:rsid w:val="00D51A0C"/>
    <w:rsid w:val="00D55B82"/>
    <w:rsid w:val="00D700AC"/>
    <w:rsid w:val="00D81BCD"/>
    <w:rsid w:val="00D83F81"/>
    <w:rsid w:val="00DB3DF4"/>
    <w:rsid w:val="00DC169D"/>
    <w:rsid w:val="00DF572C"/>
    <w:rsid w:val="00E02EBC"/>
    <w:rsid w:val="00E04986"/>
    <w:rsid w:val="00E06DC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17B59"/>
    <w:rsid w:val="00F32263"/>
    <w:rsid w:val="00F42286"/>
    <w:rsid w:val="00F465DF"/>
    <w:rsid w:val="00F81324"/>
    <w:rsid w:val="00F90828"/>
    <w:rsid w:val="00F912D7"/>
    <w:rsid w:val="00FA3745"/>
    <w:rsid w:val="00FA48A1"/>
    <w:rsid w:val="00FB016A"/>
    <w:rsid w:val="00FB0268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7800C"/>
  <w14:defaultImageDpi w14:val="0"/>
  <w15:docId w15:val="{3898B047-497C-46E3-A97D-8296741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EDCB-3A1C-4D4B-BD27-17F7B339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5866</Characters>
  <Application>Microsoft Office Word</Application>
  <DocSecurity>0</DocSecurity>
  <Lines>48</Lines>
  <Paragraphs>13</Paragraphs>
  <ScaleCrop>false</ScaleCrop>
  <Company>edv-garasche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Ausdruck FS</dc:title>
  <dc:subject/>
  <dc:creator>Georg Kleiber</dc:creator>
  <cp:keywords/>
  <dc:description/>
  <cp:lastModifiedBy>Thomas Janiczek</cp:lastModifiedBy>
  <cp:revision>3</cp:revision>
  <dcterms:created xsi:type="dcterms:W3CDTF">2024-04-17T06:20:00Z</dcterms:created>
  <dcterms:modified xsi:type="dcterms:W3CDTF">2024-04-17T06:36:00Z</dcterms:modified>
</cp:coreProperties>
</file>